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180" w:before="180" w:line="360" w:lineRule="auto"/>
        <w:jc w:val="center"/>
        <w:rPr>
          <w:vertAlign w:val="baseline"/>
        </w:rPr>
      </w:pPr>
      <w:bookmarkStart w:colFirst="0" w:colLast="0" w:name="_heading=h.2fd6gwx2792j" w:id="0"/>
      <w:bookmarkEnd w:id="0"/>
      <w:r w:rsidDel="00000000" w:rsidR="00000000" w:rsidRPr="00000000">
        <w:rPr>
          <w:vertAlign w:val="baseline"/>
          <w:rtl w:val="0"/>
        </w:rPr>
        <w:t xml:space="preserve">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vertAlign w:val="baseline"/>
          <w:rtl w:val="0"/>
        </w:rPr>
        <w:t xml:space="preserve">年司法改革論文獎助計畫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360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民間司法改革基金會常務執行會議2026年1月5日通過</w:t>
      </w:r>
    </w:p>
    <w:p w:rsidR="00000000" w:rsidDel="00000000" w:rsidP="00000000" w:rsidRDefault="00000000" w:rsidRPr="00000000" w14:paraId="00000003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s6nrgk9o8oap" w:id="1"/>
      <w:bookmarkEnd w:id="1"/>
      <w:r w:rsidDel="00000000" w:rsidR="00000000" w:rsidRPr="00000000">
        <w:rPr>
          <w:rtl w:val="0"/>
        </w:rPr>
        <w:t xml:space="preserve">一、</w:t>
      </w:r>
      <w:r w:rsidDel="00000000" w:rsidR="00000000" w:rsidRPr="00000000">
        <w:rPr>
          <w:vertAlign w:val="baseline"/>
          <w:rtl w:val="0"/>
        </w:rPr>
        <w:t xml:space="preserve">計畫宗旨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8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財團法人民間司法改革基金會（以下簡稱為本會）為推動司法改革，引導政策研究量能並培育人才，特制定「司法改革論文獎助辦法」，藉由頒發獎助金、贊助印刷出版、舉辦論文發表，鼓勵學術社群投入司法改革議題之研究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wbsldj61q76t" w:id="2"/>
      <w:bookmarkEnd w:id="2"/>
      <w:r w:rsidDel="00000000" w:rsidR="00000000" w:rsidRPr="00000000">
        <w:rPr>
          <w:rtl w:val="0"/>
        </w:rPr>
        <w:t xml:space="preserve">二、</w:t>
      </w:r>
      <w:r w:rsidDel="00000000" w:rsidR="00000000" w:rsidRPr="00000000">
        <w:rPr>
          <w:vertAlign w:val="baseline"/>
          <w:rtl w:val="0"/>
        </w:rPr>
        <w:t xml:space="preserve">對象與金額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本獎助計畫為了達到鼓勵研究之目的、評審作業之公平性，只接受未完成之論文申請。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博士論文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獎助金額新台幣8萬元整。第一階段研究計畫審查錄取後，頒發獎助金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萬元。第二階段論文完稿審查通過後，頒發獎助金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碩士論文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獎助金額新台幣5萬元整。第一階段研究計畫審查錄取後，頒發獎助金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萬元。第二階段論文完稿審查通過後，頒發獎助金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獨立論文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獎助金額新台幣3至8萬元整。第一階段研究計畫審查錄取後，頒發獎助金1至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萬元。第二階段論文完稿審查通過後，頒發獎助金2至7萬元。獨立論文內容需二萬字以上，獎助金額度由論文審查委員會視研究計畫與論文完稿之情況，個案核定。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a2igm23cuufj" w:id="3"/>
      <w:bookmarkEnd w:id="3"/>
      <w:r w:rsidDel="00000000" w:rsidR="00000000" w:rsidRPr="00000000">
        <w:rPr>
          <w:rtl w:val="0"/>
        </w:rPr>
        <w:t xml:space="preserve">三、</w:t>
      </w:r>
      <w:r w:rsidDel="00000000" w:rsidR="00000000" w:rsidRPr="00000000">
        <w:rPr>
          <w:vertAlign w:val="baseline"/>
          <w:rtl w:val="0"/>
        </w:rPr>
        <w:t xml:space="preserve">研究主題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360" w:lineRule="auto"/>
        <w:ind w:left="0" w:right="0" w:firstLine="48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獎助論文須以司法改革相關議題為研究主題，包含但不限於法律學、政治學、社會學、鑑識科學、法治教育、人權公約等學術領域。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360" w:lineRule="auto"/>
        <w:ind w:left="0" w:right="0" w:firstLine="48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6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年重點獎助主題如下：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刑事法相關之研究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刑事訴訟制度強化事實審之研究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人民參與刑事審判之研究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737" w:firstLine="0"/>
        <w:rPr/>
      </w:pPr>
      <w:r w:rsidDel="00000000" w:rsidR="00000000" w:rsidRPr="00000000">
        <w:rPr>
          <w:rtl w:val="0"/>
        </w:rPr>
        <w:t xml:space="preserve">除就《國民法官法》制度之法學理論、實施設立及實證研究外，亦包含但不限於與本制度相關的社會學、教育學、心理學等各領域之研究。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科技偵查之研究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737" w:firstLine="0"/>
        <w:rPr/>
      </w:pPr>
      <w:r w:rsidDel="00000000" w:rsidR="00000000" w:rsidRPr="00000000">
        <w:rPr>
          <w:rtl w:val="0"/>
        </w:rPr>
        <w:t xml:space="preserve">與刑事訴訟法「特殊強制處分章」有關之研究。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冤獄救援制度之研究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709" w:firstLine="0"/>
        <w:rPr/>
      </w:pPr>
      <w:r w:rsidDel="00000000" w:rsidR="00000000" w:rsidRPr="00000000">
        <w:rPr>
          <w:rtl w:val="0"/>
        </w:rPr>
        <w:t xml:space="preserve">包含但不限於「刑事冤案特別救濟制度」（CCRC）、臺灣高等檢察署有罪確定案件審查會、再審或非常上訴制度之研究。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監所改革之研究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709" w:firstLine="0"/>
        <w:rPr/>
      </w:pPr>
      <w:r w:rsidDel="00000000" w:rsidR="00000000" w:rsidRPr="00000000">
        <w:rPr>
          <w:rtl w:val="0"/>
        </w:rPr>
        <w:t xml:space="preserve">包含但不限於監所外部視察制度、少年矯正教育、受刑人投票權等研究。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精神障礙者刑事處遇之研究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709" w:firstLine="0"/>
        <w:rPr/>
      </w:pPr>
      <w:r w:rsidDel="00000000" w:rsidR="00000000" w:rsidRPr="00000000">
        <w:rPr>
          <w:rtl w:val="0"/>
        </w:rPr>
        <w:t xml:space="preserve">包含但不限於暫行安置、監護處分、司法精神病院等相關問題之研究。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刑事補償制度之研究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包含但不限於利用本會發布之「台灣刑事補償受償案件資料庫」之實證及法制研究。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關於死刑制度之實證研究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包含但不限於憲法法庭113年憲判字第8號判決或與其相關修法之研究。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憲法訴訟之比較法研究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民事訴訟制度強化事實審之研究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包含但不限於民事鑑定制度之改革、證據法則之檢討等研究。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司法制度之研究：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減輕司法負荷之研究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737" w:firstLine="0"/>
        <w:rPr/>
      </w:pPr>
      <w:r w:rsidDel="00000000" w:rsidR="00000000" w:rsidRPr="00000000">
        <w:rPr>
          <w:rtl w:val="0"/>
        </w:rPr>
        <w:t xml:space="preserve">包含但不限於活化司法人力配置再運用、調整檢察官權責及改善訴訟程序或流程等研究。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司法課責之研究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709" w:firstLine="0"/>
        <w:rPr/>
      </w:pPr>
      <w:r w:rsidDel="00000000" w:rsidR="00000000" w:rsidRPr="00000000">
        <w:rPr>
          <w:rtl w:val="0"/>
        </w:rPr>
        <w:t xml:space="preserve">包含但不限於法官或檢察官評鑑制度、加強司法首長職務監督成效之研究。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運用人工智慧於訴訟程序、執法過程、行政處分等公權力行政時，關於其正當性研析、配套機制建立、人權影響評估之研究。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律師制度之研究</w:t>
      </w:r>
    </w:p>
    <w:p w:rsidR="00000000" w:rsidDel="00000000" w:rsidP="00000000" w:rsidRDefault="00000000" w:rsidRPr="00000000" w14:paraId="0000002D">
      <w:pPr>
        <w:numPr>
          <w:ilvl w:val="2"/>
          <w:numId w:val="6"/>
        </w:numPr>
        <w:spacing w:after="120" w:before="120" w:line="360" w:lineRule="auto"/>
        <w:ind w:left="737" w:hanging="737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律師專業之研究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before="120" w:line="360" w:lineRule="auto"/>
        <w:ind w:left="737" w:firstLine="0"/>
        <w:rPr/>
      </w:pPr>
      <w:r w:rsidDel="00000000" w:rsidR="00000000" w:rsidRPr="00000000">
        <w:rPr>
          <w:rtl w:val="0"/>
        </w:rPr>
        <w:t xml:space="preserve">包含但不限於建立律師考訓用制度改革、律師專業認證制度、增加民眾近用律師服務之可及性之研究。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律師倫理之研究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firstLine="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包含但不限於強化律師倫理風紀及懲戒制度之研究</w:t>
      </w:r>
      <w:r w:rsidDel="00000000" w:rsidR="00000000" w:rsidRPr="00000000">
        <w:rPr>
          <w:rtl w:val="0"/>
        </w:rPr>
        <w:t xml:space="preserve">及特定倫理風紀案件類型（例如違反保密義務）法律爭議之研究。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37" w:right="0" w:hanging="737"/>
        <w:jc w:val="both"/>
        <w:rPr>
          <w:sz w:val="28"/>
          <w:szCs w:val="28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律師作為法曹參與公共政策及法治協作之歷史學、社會學、政治學或其它跨領域之研究。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犯罪被害人權益保障及法制之研究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包含但不限於《犯罪被害人權益保障法》相關之補償制度、保護組織、訴訟參與等問題研究。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提升司法鑑定品質之研究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包含但不限於「美國司法科學專業領域委員會」（OSAC）建立司法科學專業標準作業程序之研究；國內相關制度建構與調整之研究。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精神障礙者權利保障之研究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包含但不限於2022年《精神衛生法》修正後之相關問題研究，各該配套子法應如何制定之研究。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8"/>
          <w:szCs w:val="28"/>
          <w:rtl w:val="0"/>
        </w:rPr>
        <w:t xml:space="preserve">其他與民間司改會2026年公布之司改藍圖相關之研究。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r4f0e6byqb0q" w:id="4"/>
      <w:bookmarkEnd w:id="4"/>
      <w:r w:rsidDel="00000000" w:rsidR="00000000" w:rsidRPr="00000000">
        <w:rPr>
          <w:rtl w:val="0"/>
        </w:rPr>
        <w:t xml:space="preserve">四、</w:t>
      </w:r>
      <w:r w:rsidDel="00000000" w:rsidR="00000000" w:rsidRPr="00000000">
        <w:rPr>
          <w:vertAlign w:val="baseline"/>
          <w:rtl w:val="0"/>
        </w:rPr>
        <w:t xml:space="preserve">報名方式</w:t>
      </w:r>
    </w:p>
    <w:p w:rsidR="00000000" w:rsidDel="00000000" w:rsidP="00000000" w:rsidRDefault="00000000" w:rsidRPr="00000000" w14:paraId="0000003B">
      <w:pPr>
        <w:numPr>
          <w:ilvl w:val="1"/>
          <w:numId w:val="7"/>
        </w:numPr>
        <w:spacing w:after="120" w:before="120" w:line="360" w:lineRule="auto"/>
        <w:ind w:left="567" w:hanging="567"/>
        <w:rPr/>
      </w:pPr>
      <w:r w:rsidDel="00000000" w:rsidR="00000000" w:rsidRPr="00000000">
        <w:rPr>
          <w:sz w:val="28"/>
          <w:szCs w:val="28"/>
          <w:rtl w:val="0"/>
        </w:rPr>
        <w:t xml:space="preserve">報名期間：</w:t>
      </w:r>
      <w:r w:rsidDel="00000000" w:rsidR="00000000" w:rsidRPr="00000000">
        <w:rPr>
          <w:rtl w:val="0"/>
        </w:rPr>
        <w:t xml:space="preserve">2026年6月1日（週一）至7月31日（週五）。</w:t>
      </w:r>
    </w:p>
    <w:p w:rsidR="00000000" w:rsidDel="00000000" w:rsidP="00000000" w:rsidRDefault="00000000" w:rsidRPr="00000000" w14:paraId="0000003C">
      <w:pPr>
        <w:numPr>
          <w:ilvl w:val="1"/>
          <w:numId w:val="7"/>
        </w:numPr>
        <w:spacing w:after="120" w:before="120" w:line="360" w:lineRule="auto"/>
        <w:ind w:left="567" w:hanging="567"/>
        <w:rPr>
          <w:sz w:val="28"/>
          <w:szCs w:val="28"/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報名文件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2"/>
          <w:numId w:val="7"/>
        </w:numPr>
        <w:spacing w:after="120" w:before="120" w:line="360" w:lineRule="auto"/>
        <w:ind w:left="850.3937007874017" w:hanging="415.39370078740177"/>
        <w:rPr>
          <w:u w:val="none"/>
        </w:rPr>
      </w:pPr>
      <w:r w:rsidDel="00000000" w:rsidR="00000000" w:rsidRPr="00000000">
        <w:rPr>
          <w:rtl w:val="0"/>
        </w:rPr>
        <w:t xml:space="preserve">報名表（文件格式請下載頁面下方報名表）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2"/>
          <w:numId w:val="7"/>
        </w:numPr>
        <w:spacing w:after="120" w:before="120" w:line="360" w:lineRule="auto"/>
        <w:ind w:left="850.3937007874017" w:hanging="415.39370078740177"/>
        <w:rPr>
          <w:u w:val="none"/>
        </w:rPr>
      </w:pPr>
      <w:r w:rsidDel="00000000" w:rsidR="00000000" w:rsidRPr="00000000">
        <w:rPr>
          <w:rtl w:val="0"/>
        </w:rPr>
        <w:t xml:space="preserve">論文研究計畫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2"/>
          <w:numId w:val="7"/>
        </w:numPr>
        <w:spacing w:after="120" w:before="120" w:line="360" w:lineRule="auto"/>
        <w:ind w:left="850.3937007874017" w:hanging="415.39370078740177"/>
        <w:rPr>
          <w:u w:val="none"/>
        </w:rPr>
      </w:pPr>
      <w:r w:rsidDel="00000000" w:rsidR="00000000" w:rsidRPr="00000000">
        <w:rPr>
          <w:rtl w:val="0"/>
        </w:rPr>
        <w:t xml:space="preserve">指導教授或學者專家之推薦信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7"/>
        </w:numPr>
        <w:spacing w:line="360" w:lineRule="auto"/>
        <w:ind w:left="567" w:hanging="567"/>
        <w:rPr/>
      </w:pPr>
      <w:r w:rsidDel="00000000" w:rsidR="00000000" w:rsidRPr="00000000">
        <w:rPr>
          <w:rtl w:val="0"/>
        </w:rPr>
        <w:t xml:space="preserve">收件方式：</w:t>
      </w:r>
    </w:p>
    <w:p w:rsidR="00000000" w:rsidDel="00000000" w:rsidP="00000000" w:rsidRDefault="00000000" w:rsidRPr="00000000" w14:paraId="00000041">
      <w:pPr>
        <w:spacing w:line="360" w:lineRule="auto"/>
        <w:ind w:left="567" w:firstLine="0"/>
        <w:rPr/>
      </w:pPr>
      <w:r w:rsidDel="00000000" w:rsidR="00000000" w:rsidRPr="00000000">
        <w:rPr>
          <w:rtl w:val="0"/>
        </w:rPr>
        <w:t xml:space="preserve">請將報名文件之電子檔，以主旨為「2026司法改革論文獎助計畫報名」的E-Mail，寄至「pbz@jrf.org.tw」信箱。收件人：潘蓓臻。電話：02-25231178分機16。報名文件送出後，敬請來電確認。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7gbo8874gaq7" w:id="5"/>
      <w:bookmarkEnd w:id="5"/>
      <w:r w:rsidDel="00000000" w:rsidR="00000000" w:rsidRPr="00000000">
        <w:rPr>
          <w:rtl w:val="0"/>
        </w:rPr>
        <w:t xml:space="preserve">五、</w:t>
      </w:r>
      <w:r w:rsidDel="00000000" w:rsidR="00000000" w:rsidRPr="00000000">
        <w:rPr>
          <w:vertAlign w:val="baseline"/>
          <w:rtl w:val="0"/>
        </w:rPr>
        <w:t xml:space="preserve">審查辦法（請詳參附件2）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論文審查委員會第一階段審查，分為書面初審與口試複審，並於每年十月一日前公佈錄取名單，頒發獎助金。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獎助計畫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4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2" w:right="0" w:hanging="312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計畫期程第一階段審查錄取之申請者，應於下列期限內繳交論文完稿：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  <w:t xml:space="preserve">博士論文三年。</w:t>
      </w:r>
    </w:p>
    <w:p w:rsidR="00000000" w:rsidDel="00000000" w:rsidP="00000000" w:rsidRDefault="00000000" w:rsidRPr="00000000" w14:paraId="00000048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  <w:t xml:space="preserve">碩士論文二年。</w:t>
      </w:r>
    </w:p>
    <w:p w:rsidR="00000000" w:rsidDel="00000000" w:rsidP="00000000" w:rsidRDefault="00000000" w:rsidRPr="00000000" w14:paraId="00000049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  <w:t xml:space="preserve">獨立論文一至三年，由論文審查委員會依研究計畫之交稿時程，個案核定。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4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2" w:right="0" w:hanging="312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期限自審查錄取當年度十月一日起算，逾期未繳交論文者，喪失申請第二階段審查資格。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4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2" w:right="0" w:hanging="312"/>
        <w:jc w:val="both"/>
        <w:rPr>
          <w:u w:val="no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申請人得以書面敘明事由申請延長繳交論文期限，延長期間不得超過一年，且以一次為限。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論文審查委員會第二階段審查，分為外審與決審，並於每年一月十一日前公佈第二階段審查通過名單，頒發獎助金。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37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1a0l06hihqgp" w:id="6"/>
      <w:bookmarkEnd w:id="6"/>
      <w:r w:rsidDel="00000000" w:rsidR="00000000" w:rsidRPr="00000000">
        <w:rPr>
          <w:rtl w:val="0"/>
        </w:rPr>
        <w:t xml:space="preserve">六、</w:t>
      </w:r>
      <w:r w:rsidDel="00000000" w:rsidR="00000000" w:rsidRPr="00000000">
        <w:rPr>
          <w:vertAlign w:val="baseline"/>
          <w:rtl w:val="0"/>
        </w:rPr>
        <w:t xml:space="preserve">權利義務（請詳參附件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）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1440" w:right="0" w:hanging="36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受獎者不得以同一論文向其他政府機關或社會團體申請獎勵、獎助或補助。如有違反禁止重複獎助規定之情事，申請人受獎資格取消，已受領獎助金全額繳回。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申請人須確保其論文內容未有抄襲、改作、侵權等違反學術倫理或著作權相關法規之情事。如有違法侵權之情事，申請人受獎資格取消，已受領獎助金應全額繳回。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受獎論文應於論文正式出版時於首頁註明：「本著作榮獲財團法人民間司法改革基金會獎助，特此致謝。」字樣。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1440" w:right="0" w:hanging="36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受獎者應同意無償授與本會得不限地域、時間、方式，公開陳列、展示、傳輸其論文著作全部內容之權利。</w:t>
      </w:r>
    </w:p>
    <w:p w:rsidR="00000000" w:rsidDel="00000000" w:rsidP="00000000" w:rsidRDefault="00000000" w:rsidRPr="00000000" w14:paraId="00000053">
      <w:pPr>
        <w:pStyle w:val="Heading1"/>
        <w:spacing w:after="180" w:before="180" w:line="360" w:lineRule="auto"/>
        <w:rPr>
          <w:vertAlign w:val="baseline"/>
        </w:rPr>
      </w:pPr>
      <w:bookmarkStart w:colFirst="0" w:colLast="0" w:name="_heading=h.r116s2btzax3" w:id="7"/>
      <w:bookmarkEnd w:id="7"/>
      <w:r w:rsidDel="00000000" w:rsidR="00000000" w:rsidRPr="00000000">
        <w:rPr>
          <w:rtl w:val="0"/>
        </w:rPr>
        <w:t xml:space="preserve">七、</w:t>
      </w:r>
      <w:r w:rsidDel="00000000" w:rsidR="00000000" w:rsidRPr="00000000">
        <w:rPr>
          <w:vertAlign w:val="baseline"/>
          <w:rtl w:val="0"/>
        </w:rPr>
        <w:t xml:space="preserve">其他獎勵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360" w:lineRule="auto"/>
        <w:ind w:left="0" w:right="0" w:firstLine="480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7" w:type="default"/>
          <w:pgSz w:h="16838" w:w="11906" w:orient="portrait"/>
          <w:pgMar w:bottom="1440" w:top="1440" w:left="1134" w:right="1134" w:header="851" w:footer="680"/>
          <w:pgNumType w:start="1"/>
        </w:sect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本會得另以舉辦公開表揚、安排論文發表或其他活動獎勵受獎者；並得以贊助論文印刷費用、出版專書專刊或其他方式推廣受獎論文。獎勵活動與推廣方式，由論文審查委員會決議之。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360" w:lineRule="auto"/>
        <w:ind w:left="0" w:right="0" w:firstLine="0"/>
        <w:jc w:val="center"/>
        <w:rPr>
          <w:rFonts w:ascii="DFKai-SB" w:cs="DFKai-SB" w:eastAsia="DFKai-SB" w:hAnsi="DFKai-SB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DFKai-SB" w:cs="DFKai-SB" w:eastAsia="DFKai-SB" w:hAnsi="DFKai-SB"/>
          <w:b w:val="1"/>
          <w:bCs w:val="1"/>
          <w:sz w:val="36"/>
          <w:szCs w:val="36"/>
          <w:rtl w:val="0"/>
        </w:rPr>
        <w:t xml:space="preserve">6</w:t>
      </w:r>
      <w:r w:rsidDel="00000000" w:rsidR="00000000" w:rsidRPr="00000000">
        <w:rPr>
          <w:rFonts w:ascii="DFKai-SB" w:cs="DFKai-SB" w:eastAsia="DFKai-SB" w:hAnsi="DFKai-SB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司法改革論文獎助計畫報名表</w:t>
      </w:r>
    </w:p>
    <w:p w:rsidR="00000000" w:rsidDel="00000000" w:rsidP="00000000" w:rsidRDefault="00000000" w:rsidRPr="00000000" w14:paraId="00000056">
      <w:pPr>
        <w:spacing w:line="240" w:lineRule="auto"/>
        <w:ind w:right="-514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申請種類：□博士論文　□碩士論文　□獨立論文　　　報名日期：　月　日</w:t>
      </w:r>
    </w:p>
    <w:tbl>
      <w:tblPr>
        <w:tblStyle w:val="Table1"/>
        <w:tblW w:w="9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55"/>
        <w:gridCol w:w="2945"/>
        <w:gridCol w:w="2016"/>
        <w:gridCol w:w="2964"/>
        <w:tblGridChange w:id="0">
          <w:tblGrid>
            <w:gridCol w:w="1555"/>
            <w:gridCol w:w="2945"/>
            <w:gridCol w:w="2016"/>
            <w:gridCol w:w="2964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姓名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學校系所／工作機構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指導教授／推薦人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聯絡電話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FB（選填）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Line ID（選填）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e8e8e8" w:val="clear"/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聯絡地址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3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e8e8e8" w:val="clear"/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同意事項</w:t>
            </w:r>
          </w:p>
        </w:tc>
        <w:tc>
          <w:tcPr>
            <w:gridSpan w:val="3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spacing w:after="120" w:before="120"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本人同意並遵守下列事項：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7" w:right="0" w:firstLine="0"/>
              <w:jc w:val="both"/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申請人不得以同一論文向其他政府機關或社會團體申請獎勵、獎助或補助。如有違反禁止重複獎助規定之情事，申請人受獎資格取消，已受領獎助金全額繳回。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7" w:right="0" w:firstLine="0"/>
              <w:jc w:val="both"/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申請人須確保其論文內容未有抄襲、改作、侵權等違反學術倫理或著作權相關法規之情事。如有違法侵權之情事，申請人受獎資格取消，已受領獎助金應全額繳回。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7" w:right="0" w:firstLine="0"/>
              <w:jc w:val="both"/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受獎論文應於論文正式出版時首頁註明：「本著作榮獲民間司法改革基金會獎助，特此致謝。」字樣。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37" w:right="0" w:firstLine="0"/>
              <w:jc w:val="both"/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受獎者應同意無償授與本會得不限地域、時間、方式，公開陳列、展示、傳輸其論文著作全部內容之權利。</w:t>
            </w:r>
          </w:p>
          <w:p w:rsidR="00000000" w:rsidDel="00000000" w:rsidP="00000000" w:rsidRDefault="00000000" w:rsidRPr="00000000" w14:paraId="00000075">
            <w:pPr>
              <w:spacing w:after="240" w:before="240" w:line="240" w:lineRule="auto"/>
              <w:ind w:right="2400"/>
              <w:jc w:val="right"/>
              <w:rPr>
                <w:rFonts w:ascii="DFKai-SB" w:cs="DFKai-SB" w:eastAsia="DFKai-SB" w:hAnsi="DFKai-SB"/>
                <w:b w:val="1"/>
                <w:bCs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bCs w:val="1"/>
                <w:rtl w:val="0"/>
              </w:rPr>
              <w:t xml:space="preserve">申請人簽名：</w:t>
            </w:r>
          </w:p>
        </w:tc>
      </w:tr>
      <w:tr>
        <w:trPr>
          <w:cantSplit w:val="0"/>
          <w:trHeight w:val="926" w:hRule="atLeast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  <w:shd w:fill="e8e8e8" w:val="clear"/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報名文件</w:t>
            </w:r>
          </w:p>
        </w:tc>
        <w:tc>
          <w:tcPr>
            <w:gridSpan w:val="3"/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spacing w:after="120" w:before="120" w:line="240" w:lineRule="auto"/>
              <w:ind w:right="-514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□研究計畫</w:t>
            </w:r>
          </w:p>
          <w:p w:rsidR="00000000" w:rsidDel="00000000" w:rsidP="00000000" w:rsidRDefault="00000000" w:rsidRPr="00000000" w14:paraId="0000007A">
            <w:pPr>
              <w:spacing w:after="120" w:before="120" w:line="240" w:lineRule="auto"/>
              <w:ind w:right="-514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□推薦信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gridSpan w:val="4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備註：獨立論文研究計畫需說明論文篇幅與交稿時程之規劃。</w:t>
            </w:r>
          </w:p>
        </w:tc>
      </w:tr>
    </w:tbl>
    <w:p w:rsidR="00000000" w:rsidDel="00000000" w:rsidP="00000000" w:rsidRDefault="00000000" w:rsidRPr="00000000" w14:paraId="00000081">
      <w:pPr>
        <w:spacing w:line="360" w:lineRule="auto"/>
        <w:rPr>
          <w:rFonts w:ascii="DFKai-SB" w:cs="DFKai-SB" w:eastAsia="DFKai-SB" w:hAnsi="DFKai-SB"/>
        </w:rPr>
        <w:sectPr>
          <w:footerReference r:id="rId8" w:type="default"/>
          <w:type w:val="nextPage"/>
          <w:pgSz w:h="16838" w:w="11906" w:orient="portrait"/>
          <w:pgMar w:bottom="1440" w:top="1440" w:left="1134" w:right="1134" w:header="851" w:footer="68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360" w:lineRule="auto"/>
        <w:ind w:left="0" w:right="0" w:firstLine="0"/>
        <w:jc w:val="center"/>
        <w:rPr>
          <w:rFonts w:ascii="Century Schoolbook" w:cs="Century Schoolbook" w:eastAsia="Century Schoolbook" w:hAnsi="Century Schoolbook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司法改革論文獎助辦法</w:t>
      </w:r>
    </w:p>
    <w:p w:rsidR="00000000" w:rsidDel="00000000" w:rsidP="00000000" w:rsidRDefault="00000000" w:rsidRPr="00000000" w14:paraId="00000083">
      <w:pPr>
        <w:widowControl w:val="1"/>
        <w:spacing w:line="276" w:lineRule="auto"/>
        <w:jc w:val="right"/>
        <w:rPr>
          <w:rFonts w:ascii="Arimo" w:cs="Arimo" w:eastAsia="Arimo" w:hAnsi="Arimo"/>
          <w:sz w:val="22"/>
          <w:szCs w:val="22"/>
        </w:rPr>
      </w:pPr>
      <w:sdt>
        <w:sdtPr>
          <w:id w:val="-1048104423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民間司法改革基金會常執會議2021年01月04日通過</w:t>
          </w:r>
        </w:sdtContent>
      </w:sdt>
    </w:p>
    <w:p w:rsidR="00000000" w:rsidDel="00000000" w:rsidP="00000000" w:rsidRDefault="00000000" w:rsidRPr="00000000" w14:paraId="00000084">
      <w:pPr>
        <w:widowControl w:val="1"/>
        <w:spacing w:line="276" w:lineRule="auto"/>
        <w:jc w:val="right"/>
        <w:rPr>
          <w:rFonts w:ascii="Arimo" w:cs="Arimo" w:eastAsia="Arimo" w:hAnsi="Arimo"/>
          <w:sz w:val="22"/>
          <w:szCs w:val="22"/>
        </w:rPr>
      </w:pPr>
      <w:sdt>
        <w:sdtPr>
          <w:id w:val="-406717773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2021年12月06日修訂</w:t>
          </w:r>
        </w:sdtContent>
      </w:sdt>
    </w:p>
    <w:p w:rsidR="00000000" w:rsidDel="00000000" w:rsidP="00000000" w:rsidRDefault="00000000" w:rsidRPr="00000000" w14:paraId="00000085">
      <w:pPr>
        <w:widowControl w:val="1"/>
        <w:spacing w:line="276" w:lineRule="auto"/>
        <w:jc w:val="right"/>
        <w:rPr/>
      </w:pPr>
      <w:sdt>
        <w:sdtPr>
          <w:id w:val="-2092493240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2026年01月05日修訂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第1條</w:t>
      </w:r>
    </w:p>
    <w:p w:rsidR="00000000" w:rsidDel="00000000" w:rsidP="00000000" w:rsidRDefault="00000000" w:rsidRPr="00000000" w14:paraId="00000087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民間司法改革基金會（以下簡稱「本會」）為推動司法改革，引導政策研究量能並培育人才，特制定本獎助辦法。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第2條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本會獎助對象與獎助金額如下：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博士論文，獎助金額新台幣八萬元整。第一階段研究計畫審查錄取後，頒發獎助金</w:t>
      </w:r>
      <w:r w:rsidDel="00000000" w:rsidR="00000000" w:rsidRPr="00000000">
        <w:rPr>
          <w:color w:val="ff0000"/>
          <w:rtl w:val="0"/>
        </w:rPr>
        <w:t xml:space="preserve">二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萬元。第二階段論文完稿審查通過後，頒發獎助金</w:t>
      </w:r>
      <w:r w:rsidDel="00000000" w:rsidR="00000000" w:rsidRPr="00000000">
        <w:rPr>
          <w:color w:val="ff0000"/>
          <w:rtl w:val="0"/>
        </w:rPr>
        <w:t xml:space="preserve">六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碩士論文，獎助金額新台幣五萬元整。第一階段研究計畫審查錄取後，頒發獎助金</w:t>
      </w:r>
      <w:r w:rsidDel="00000000" w:rsidR="00000000" w:rsidRPr="00000000">
        <w:rPr>
          <w:color w:val="ff0000"/>
          <w:rtl w:val="0"/>
        </w:rPr>
        <w:t xml:space="preserve">一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萬元。第二階段論文完稿審查通過後，頒發獎助金</w:t>
      </w:r>
      <w:r w:rsidDel="00000000" w:rsidR="00000000" w:rsidRPr="00000000">
        <w:rPr>
          <w:color w:val="ff0000"/>
          <w:rtl w:val="0"/>
        </w:rPr>
        <w:t xml:space="preserve">四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獨立論文，獎助金額新台幣三至八萬元整。第一階段研究計畫審查錄取後，頒發獎助金一至</w:t>
      </w:r>
      <w:r w:rsidDel="00000000" w:rsidR="00000000" w:rsidRPr="00000000">
        <w:rPr>
          <w:color w:val="ff0000"/>
          <w:rtl w:val="0"/>
        </w:rPr>
        <w:t xml:space="preserve">二</w:t>
      </w: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萬元。第二階段論文完稿審查通過後，頒發獎助金二至七萬元。獨立論文內容需二萬字以上，獎助金額度由論文審查委員會視研究計畫與論文完稿之情況，個案核定。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本獎助計畫為了達到鼓勵研究之目的、評審作業之公平性，只接受未完成之論文申請。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第3條</w:t>
      </w:r>
    </w:p>
    <w:p w:rsidR="00000000" w:rsidDel="00000000" w:rsidP="00000000" w:rsidRDefault="00000000" w:rsidRPr="00000000" w14:paraId="0000008F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獎助論文須以司法改革相關議題為研究主題，包含但不限於法律學、政治學、社會學、鑑識科學、法治教育、人權公約等學術領域。本會將於獎助計畫公告當年度重點獎助主題，以供申請人參考。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第4條</w:t>
      </w:r>
    </w:p>
    <w:p w:rsidR="00000000" w:rsidDel="00000000" w:rsidP="00000000" w:rsidRDefault="00000000" w:rsidRPr="00000000" w14:paraId="00000091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本會成立論文審查委員會由學者四人、法治教育小組成員二人、NGO工作者一人組成。委員名單由法治教育小組推薦人選，經常執會議通過後聘任。委員任期三年，得連任一次。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第5條</w:t>
      </w:r>
    </w:p>
    <w:p w:rsidR="00000000" w:rsidDel="00000000" w:rsidP="00000000" w:rsidRDefault="00000000" w:rsidRPr="00000000" w14:paraId="00000093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論文審查委員會工作如下：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擬定年度論文獎助預算、計畫與重點獎助主題，提交常執會議審查通過。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決定獎助名額與獎助金額。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審查第一階段研究計畫與口試決定錄取人選。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決定第二階段論文外審委員名單與審查費用。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審查第二階段論文與決定通過人選。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決定頒發獎助金外之獎勵方式與活動。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其他論文獎助相關事宜。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第6條</w:t>
      </w:r>
    </w:p>
    <w:p w:rsidR="00000000" w:rsidDel="00000000" w:rsidP="00000000" w:rsidRDefault="00000000" w:rsidRPr="00000000" w14:paraId="0000009C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本會於每年一月十一日司法節前公告當年度獎助計畫。申請人應填載報名表，附具研究計畫、指導教授或學者專家之推薦信與其他獎助計畫規定之文件，於每年六月一日起至七月三十一日止，完成報名。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第7條</w:t>
      </w:r>
    </w:p>
    <w:p w:rsidR="00000000" w:rsidDel="00000000" w:rsidP="00000000" w:rsidRDefault="00000000" w:rsidRPr="00000000" w14:paraId="0000009E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本會收受報名資料後，先由秘書處審查格式是否符合年度計畫規定，如有缺漏將定期通知補件，逾期未補件者，不予受理。報名截止後，秘書處先將申請者匿名處理，再將報名資料呈送論文審查委員會進行第一階段審查。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第8條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論文審查委員會第一階段審查，分為書面初審與口試複審，並於每年十月一日前公佈錄取名單，頒發獎助金。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第一階段審查會議需委員半數以上出席，始得開會。出席委員半數以上同意，始得決議。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書面初審，論文審查委員會審閱報名資料後，決定當年度獎助名額，並就名額上限人數，決定口試複審名單。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口試複審，論文審查委員會進行口試後，決定第一階段論文計畫審查錄取人選，以及獨立論文之獎助金額與繳交論文完稿期限。書面初審與口試複審之審查標準為：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研究主題之價值。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研究方法是否具合理性。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研究方法是否具可行性。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第9條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第一階段審查錄取之申請者，應於下列期限內繳交論文完稿：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博士論文三年。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碩士論文二年。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獨立論文一至三年，由論文審查委員會依研究計畫之交稿時程，個案核定。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期限自審查錄取當年度十月一日起算，逾期未繳交論文者，喪失申請第二階段審查資格。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申請人得以書面敘明事由申請延長繳交論文期限，延長期間不得超過一年，且以一次為限。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第10條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論文審查委員會第二階段審查，分為外審與決審，並於每年一月十一日前公佈第二階段審查通過名單，頒發獎助金。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外審，本會收到第一階段審查錄取申請者之論文完稿後，應依其研究性質與學術領域，聘請二位外審委員進行雙向匿名審查。外審委員名單與審查費用由論文審查委員會決議之。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外審期限以一個月為原則，外審意見分類如下：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博士論文：1.推薦。2.不推薦。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碩士論文：1.推薦。2.不推薦。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獨立論文：1.推薦。2.修正後推薦。3.修正後再審。4.不推薦。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外審委員有一位以上意見為不推薦，申請人第二階段審查即不通過。外審委員意見為「修正後推薦」或「修正後再審」，申請人應依審查意見於30日內修改完畢。「修正後再審」之論文，修改後再由原外審委員進行複審。複審期限以二週為原則，複審意見只分「推薦」或「不推薦」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決審，論文經二位外審委員推薦之申請者，由論文審查委員會審查其論文是否符合當年度計畫。決審會議需委員半數以上出席，始得開會。非經出席委員三分之二以上反對，申請者通過第二階段審查。通過第二階段審查獨立論文之獎助金額，由出席委員半數以上同意，決議之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第11條</w:t>
      </w:r>
    </w:p>
    <w:p w:rsidR="00000000" w:rsidDel="00000000" w:rsidP="00000000" w:rsidRDefault="00000000" w:rsidRPr="00000000" w14:paraId="000000B8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委員其有配偶或三親等內之血親、姻親為申請人，或為申請者之指導教授、口試委員、推薦人者，或有其他可能影響公正審議之事由，應在該申請者審查討論與決議時迴避。如有應迴避未迴避之情事，申請人受獎資格取消，已受領獎助金全額繳回。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第12條</w:t>
      </w:r>
    </w:p>
    <w:p w:rsidR="00000000" w:rsidDel="00000000" w:rsidP="00000000" w:rsidRDefault="00000000" w:rsidRPr="00000000" w14:paraId="000000BA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受獎者不得以同一論文向其他政府機關或社會團體申請獎勵、獎助或補助。如有違反禁止重複獎助規定之情事，申請人受獎資格取消，已受領獎助金全額繳回。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第13條</w:t>
      </w:r>
    </w:p>
    <w:p w:rsidR="00000000" w:rsidDel="00000000" w:rsidP="00000000" w:rsidRDefault="00000000" w:rsidRPr="00000000" w14:paraId="000000BC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申請人須確保其論文內容未有抄襲、改作、侵權等違反學術倫理或著作權相關法規之情事。如有違法侵權之情事，申請人受獎資格取消，已受領獎助金應全額繳回。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第14條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受獎論文應於論文正式出版時首頁註明：「本著作榮獲民間司法改革基金會獎助，特此致謝。」字樣。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80" w:right="0" w:hanging="480"/>
        <w:jc w:val="both"/>
        <w:rPr/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受獎者應同意無償授與本會得不限地域、時間、方式，公開陳列、展示、傳輸其論文著作全部內容之權利。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第15條</w:t>
      </w:r>
    </w:p>
    <w:p w:rsidR="00000000" w:rsidDel="00000000" w:rsidP="00000000" w:rsidRDefault="00000000" w:rsidRPr="00000000" w14:paraId="000000C1">
      <w:pPr>
        <w:spacing w:line="360" w:lineRule="auto"/>
        <w:ind w:left="480" w:firstLine="0"/>
        <w:rPr/>
      </w:pPr>
      <w:r w:rsidDel="00000000" w:rsidR="00000000" w:rsidRPr="00000000">
        <w:rPr>
          <w:rtl w:val="0"/>
        </w:rPr>
        <w:t xml:space="preserve">本會得另以舉辦公開表揚、安排論文發表或其他活動獎勵受獎者，並得以贊助論文印刷費用、出版專書專刊或其他方式推廣受獎論文。獎勵活動與推廣方式由論文審查委員會決議之。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567" w:right="0" w:hanging="567"/>
        <w:jc w:val="both"/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第16條</w:t>
      </w:r>
    </w:p>
    <w:p w:rsidR="00000000" w:rsidDel="00000000" w:rsidP="00000000" w:rsidRDefault="00000000" w:rsidRPr="00000000" w14:paraId="000000C3">
      <w:pPr>
        <w:spacing w:line="360" w:lineRule="auto"/>
        <w:ind w:left="480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  <w:t xml:space="preserve">本辦法經常務執行會議通過後實施，修正時亦同。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134" w:right="1134" w:header="851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FKai-SB"/>
  <w:font w:name="Arial Unicode MS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Schoolbook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第 </w:t>
    </w: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頁，共 </w:t>
    </w:r>
    <w:r w:rsidDel="00000000" w:rsidR="00000000" w:rsidRPr="00000000">
      <w:rPr>
        <w:sz w:val="20"/>
        <w:szCs w:val="20"/>
        <w:rtl w:val="0"/>
      </w:rPr>
      <w:t xml:space="preserve">5</w:t>
    </w: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頁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第 </w:t>
    </w: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頁，共 </w:t>
    </w:r>
    <w:r w:rsidDel="00000000" w:rsidR="00000000" w:rsidRPr="00000000">
      <w:rPr>
        <w:sz w:val="20"/>
        <w:szCs w:val="20"/>
        <w:rtl w:val="0"/>
      </w:rPr>
      <w:t xml:space="preserve">4 </w:t>
    </w:r>
    <w:r w:rsidDel="00000000" w:rsidR="00000000" w:rsidRPr="00000000">
      <w:rPr>
        <w:rFonts w:ascii="Century Schoolbook" w:cs="Century Schoolbook" w:eastAsia="Century Schoolbook" w:hAnsi="Century Schoolbook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頁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"/>
      <w:lvlJc w:val="left"/>
      <w:pPr>
        <w:ind w:left="480" w:hanging="480"/>
      </w:pPr>
      <w:rPr/>
    </w:lvl>
    <w:lvl w:ilvl="1">
      <w:start w:val="1"/>
      <w:numFmt w:val="decimal"/>
      <w:lvlText w:val="（%2）"/>
      <w:lvlJc w:val="left"/>
      <w:pPr>
        <w:ind w:left="1200" w:hanging="72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upperRoman"/>
      <w:lvlText w:val="%1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48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upperRoman"/>
      <w:lvlText w:val="%1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、"/>
      <w:lvlJc w:val="left"/>
      <w:pPr>
        <w:ind w:left="567" w:hanging="567"/>
      </w:pPr>
      <w:rPr>
        <w:rFonts w:ascii="Century Schoolbook" w:cs="Century Schoolbook" w:eastAsia="Century Schoolbook" w:hAnsi="Century Schoolbook"/>
        <w:sz w:val="28"/>
        <w:szCs w:val="28"/>
      </w:rPr>
    </w:lvl>
    <w:lvl w:ilvl="1">
      <w:start w:val="1"/>
      <w:numFmt w:val="decimal"/>
      <w:lvlText w:val="%2、"/>
      <w:lvlJc w:val="left"/>
      <w:pPr>
        <w:ind w:left="567" w:hanging="567"/>
      </w:pPr>
      <w:rPr>
        <w:rFonts w:ascii="Century Schoolbook" w:cs="Century Schoolbook" w:eastAsia="Century Schoolbook" w:hAnsi="Century Schoolbook"/>
        <w:sz w:val="28"/>
        <w:szCs w:val="28"/>
      </w:rPr>
    </w:lvl>
    <w:lvl w:ilvl="2">
      <w:start w:val="1"/>
      <w:numFmt w:val="decimal"/>
      <w:lvlText w:val="（%3）"/>
      <w:lvlJc w:val="left"/>
      <w:pPr>
        <w:ind w:left="737" w:hanging="737"/>
      </w:pPr>
      <w:rPr>
        <w:rFonts w:ascii="Century Schoolbook" w:cs="Century Schoolbook" w:eastAsia="Century Schoolbook" w:hAnsi="Century Schoolbook"/>
        <w:sz w:val="24"/>
        <w:szCs w:val="24"/>
      </w:rPr>
    </w:lvl>
    <w:lvl w:ilvl="3">
      <w:start w:val="1"/>
      <w:numFmt w:val="decimal"/>
      <w:lvlText w:val="%4、"/>
      <w:lvlJc w:val="left"/>
      <w:pPr>
        <w:ind w:left="822" w:hanging="367.99999999999994"/>
      </w:pPr>
      <w:rPr>
        <w:rFonts w:ascii="Century Schoolbook" w:cs="Century Schoolbook" w:eastAsia="Century Schoolbook" w:hAnsi="Century Schoolbook"/>
        <w:sz w:val="24"/>
        <w:szCs w:val="24"/>
      </w:rPr>
    </w:lvl>
    <w:lvl w:ilvl="4">
      <w:start w:val="1"/>
      <w:numFmt w:val="decimal"/>
      <w:lvlText w:val="(%5)"/>
      <w:lvlJc w:val="left"/>
      <w:pPr>
        <w:ind w:left="992" w:hanging="312"/>
      </w:pPr>
      <w:rPr>
        <w:rFonts w:ascii="Century Schoolbook" w:cs="Century Schoolbook" w:eastAsia="Century Schoolbook" w:hAnsi="Century Schoolbook"/>
        <w:sz w:val="24"/>
        <w:szCs w:val="24"/>
      </w:rPr>
    </w:lvl>
    <w:lvl w:ilvl="5">
      <w:start w:val="1"/>
      <w:numFmt w:val="decimal"/>
      <w:lvlText w:val="%6"/>
      <w:lvlJc w:val="right"/>
      <w:pPr>
        <w:ind w:left="2268" w:hanging="113"/>
      </w:pPr>
      <w:rPr/>
    </w:lvl>
    <w:lvl w:ilvl="6">
      <w:start w:val="1"/>
      <w:numFmt w:val="decimal"/>
      <w:lvlText w:val="%7"/>
      <w:lvlJc w:val="left"/>
      <w:pPr>
        <w:ind w:left="3459" w:hanging="567"/>
      </w:pPr>
      <w:rPr/>
    </w:lvl>
    <w:lvl w:ilvl="7">
      <w:start w:val="1"/>
      <w:numFmt w:val="decimal"/>
      <w:lvlText w:val="%8"/>
      <w:lvlJc w:val="left"/>
      <w:pPr>
        <w:ind w:left="3941" w:hanging="566.9999999999991"/>
      </w:pPr>
      <w:rPr/>
    </w:lvl>
    <w:lvl w:ilvl="8">
      <w:start w:val="1"/>
      <w:numFmt w:val="decimal"/>
      <w:lvlText w:val="%9"/>
      <w:lvlJc w:val="right"/>
      <w:pPr>
        <w:ind w:left="4423" w:hanging="567"/>
      </w:pPr>
      <w:rPr/>
    </w:lvl>
  </w:abstractNum>
  <w:abstractNum w:abstractNumId="6">
    <w:lvl w:ilvl="0">
      <w:start w:val="1"/>
      <w:numFmt w:val="decimal"/>
      <w:lvlText w:val="%1、"/>
      <w:lvlJc w:val="left"/>
      <w:pPr>
        <w:ind w:left="567" w:hanging="567"/>
      </w:pPr>
      <w:rPr>
        <w:rFonts w:ascii="Century Schoolbook" w:cs="Century Schoolbook" w:eastAsia="Century Schoolbook" w:hAnsi="Century Schoolbook"/>
        <w:sz w:val="28"/>
        <w:szCs w:val="28"/>
      </w:rPr>
    </w:lvl>
    <w:lvl w:ilvl="1">
      <w:start w:val="1"/>
      <w:numFmt w:val="decimal"/>
      <w:lvlText w:val="%2、"/>
      <w:lvlJc w:val="left"/>
      <w:pPr>
        <w:ind w:left="567" w:hanging="567"/>
      </w:pPr>
      <w:rPr>
        <w:rFonts w:ascii="Century Schoolbook" w:cs="Century Schoolbook" w:eastAsia="Century Schoolbook" w:hAnsi="Century Schoolbook"/>
        <w:sz w:val="28"/>
        <w:szCs w:val="28"/>
      </w:rPr>
    </w:lvl>
    <w:lvl w:ilvl="2">
      <w:start w:val="1"/>
      <w:numFmt w:val="decimal"/>
      <w:lvlText w:val="（%3）"/>
      <w:lvlJc w:val="left"/>
      <w:pPr>
        <w:ind w:left="737" w:hanging="737"/>
      </w:pPr>
      <w:rPr>
        <w:rFonts w:ascii="Century Schoolbook" w:cs="Century Schoolbook" w:eastAsia="Century Schoolbook" w:hAnsi="Century Schoolbook"/>
        <w:sz w:val="24"/>
        <w:szCs w:val="24"/>
      </w:rPr>
    </w:lvl>
    <w:lvl w:ilvl="3">
      <w:start w:val="1"/>
      <w:numFmt w:val="decimal"/>
      <w:lvlText w:val="%4、"/>
      <w:lvlJc w:val="left"/>
      <w:pPr>
        <w:ind w:left="822" w:hanging="367.99999999999994"/>
      </w:pPr>
      <w:rPr>
        <w:rFonts w:ascii="Century Schoolbook" w:cs="Century Schoolbook" w:eastAsia="Century Schoolbook" w:hAnsi="Century Schoolbook"/>
        <w:sz w:val="24"/>
        <w:szCs w:val="24"/>
      </w:rPr>
    </w:lvl>
    <w:lvl w:ilvl="4">
      <w:start w:val="1"/>
      <w:numFmt w:val="decimal"/>
      <w:lvlText w:val="(%5)"/>
      <w:lvlJc w:val="left"/>
      <w:pPr>
        <w:ind w:left="992" w:hanging="312"/>
      </w:pPr>
      <w:rPr>
        <w:rFonts w:ascii="Century Schoolbook" w:cs="Century Schoolbook" w:eastAsia="Century Schoolbook" w:hAnsi="Century Schoolbook"/>
        <w:sz w:val="24"/>
        <w:szCs w:val="24"/>
      </w:rPr>
    </w:lvl>
    <w:lvl w:ilvl="5">
      <w:start w:val="1"/>
      <w:numFmt w:val="decimal"/>
      <w:lvlText w:val="%6"/>
      <w:lvlJc w:val="right"/>
      <w:pPr>
        <w:ind w:left="2268" w:hanging="113"/>
      </w:pPr>
      <w:rPr/>
    </w:lvl>
    <w:lvl w:ilvl="6">
      <w:start w:val="1"/>
      <w:numFmt w:val="decimal"/>
      <w:lvlText w:val="%7"/>
      <w:lvlJc w:val="left"/>
      <w:pPr>
        <w:ind w:left="3459" w:hanging="567"/>
      </w:pPr>
      <w:rPr/>
    </w:lvl>
    <w:lvl w:ilvl="7">
      <w:start w:val="1"/>
      <w:numFmt w:val="decimal"/>
      <w:lvlText w:val="%8"/>
      <w:lvlJc w:val="left"/>
      <w:pPr>
        <w:ind w:left="3941" w:hanging="566.9999999999991"/>
      </w:pPr>
      <w:rPr/>
    </w:lvl>
    <w:lvl w:ilvl="8">
      <w:start w:val="1"/>
      <w:numFmt w:val="decimal"/>
      <w:lvlText w:val="%9"/>
      <w:lvlJc w:val="right"/>
      <w:pPr>
        <w:ind w:left="4423" w:hanging="567"/>
      </w:pPr>
      <w:rPr/>
    </w:lvl>
  </w:abstractNum>
  <w:abstractNum w:abstractNumId="7">
    <w:lvl w:ilvl="0">
      <w:start w:val="1"/>
      <w:numFmt w:val="decimal"/>
      <w:lvlText w:val="%1、"/>
      <w:lvlJc w:val="left"/>
      <w:pPr>
        <w:ind w:left="567" w:hanging="567"/>
      </w:pPr>
      <w:rPr>
        <w:rFonts w:ascii="Century Schoolbook" w:cs="Century Schoolbook" w:eastAsia="Century Schoolbook" w:hAnsi="Century Schoolbook"/>
        <w:sz w:val="28"/>
        <w:szCs w:val="28"/>
      </w:rPr>
    </w:lvl>
    <w:lvl w:ilvl="1">
      <w:start w:val="1"/>
      <w:numFmt w:val="decimal"/>
      <w:lvlText w:val="%2、"/>
      <w:lvlJc w:val="left"/>
      <w:pPr>
        <w:ind w:left="567" w:hanging="567"/>
      </w:pPr>
      <w:rPr>
        <w:rFonts w:ascii="Century Schoolbook" w:cs="Century Schoolbook" w:eastAsia="Century Schoolbook" w:hAnsi="Century Schoolbook"/>
        <w:sz w:val="28"/>
        <w:szCs w:val="28"/>
      </w:rPr>
    </w:lvl>
    <w:lvl w:ilvl="2">
      <w:start w:val="1"/>
      <w:numFmt w:val="decimal"/>
      <w:lvlText w:val="（%3）"/>
      <w:lvlJc w:val="left"/>
      <w:pPr>
        <w:ind w:left="737" w:hanging="737"/>
      </w:pPr>
      <w:rPr>
        <w:rFonts w:ascii="Century Schoolbook" w:cs="Century Schoolbook" w:eastAsia="Century Schoolbook" w:hAnsi="Century Schoolbook"/>
        <w:sz w:val="24"/>
        <w:szCs w:val="24"/>
      </w:rPr>
    </w:lvl>
    <w:lvl w:ilvl="3">
      <w:start w:val="1"/>
      <w:numFmt w:val="decimal"/>
      <w:lvlText w:val="%4、"/>
      <w:lvlJc w:val="left"/>
      <w:pPr>
        <w:ind w:left="822" w:hanging="367.99999999999994"/>
      </w:pPr>
      <w:rPr>
        <w:rFonts w:ascii="Century Schoolbook" w:cs="Century Schoolbook" w:eastAsia="Century Schoolbook" w:hAnsi="Century Schoolbook"/>
        <w:sz w:val="24"/>
        <w:szCs w:val="24"/>
      </w:rPr>
    </w:lvl>
    <w:lvl w:ilvl="4">
      <w:start w:val="1"/>
      <w:numFmt w:val="decimal"/>
      <w:lvlText w:val="(%5)"/>
      <w:lvlJc w:val="left"/>
      <w:pPr>
        <w:ind w:left="992" w:hanging="312"/>
      </w:pPr>
      <w:rPr>
        <w:rFonts w:ascii="Century Schoolbook" w:cs="Century Schoolbook" w:eastAsia="Century Schoolbook" w:hAnsi="Century Schoolbook"/>
        <w:sz w:val="24"/>
        <w:szCs w:val="24"/>
      </w:rPr>
    </w:lvl>
    <w:lvl w:ilvl="5">
      <w:start w:val="1"/>
      <w:numFmt w:val="decimal"/>
      <w:lvlText w:val="%6"/>
      <w:lvlJc w:val="right"/>
      <w:pPr>
        <w:ind w:left="2268" w:hanging="113"/>
      </w:pPr>
      <w:rPr/>
    </w:lvl>
    <w:lvl w:ilvl="6">
      <w:start w:val="1"/>
      <w:numFmt w:val="decimal"/>
      <w:lvlText w:val="%7"/>
      <w:lvlJc w:val="left"/>
      <w:pPr>
        <w:ind w:left="3459" w:hanging="567"/>
      </w:pPr>
      <w:rPr/>
    </w:lvl>
    <w:lvl w:ilvl="7">
      <w:start w:val="1"/>
      <w:numFmt w:val="decimal"/>
      <w:lvlText w:val="%8"/>
      <w:lvlJc w:val="left"/>
      <w:pPr>
        <w:ind w:left="3941" w:hanging="566.9999999999991"/>
      </w:pPr>
      <w:rPr/>
    </w:lvl>
    <w:lvl w:ilvl="8">
      <w:start w:val="1"/>
      <w:numFmt w:val="decimal"/>
      <w:lvlText w:val="%9"/>
      <w:lvlJc w:val="right"/>
      <w:pPr>
        <w:ind w:left="4423" w:hanging="567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0">
    <w:lvl w:ilvl="0">
      <w:start w:val="1"/>
      <w:numFmt w:val="upperRoman"/>
      <w:lvlText w:val="%1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1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2">
    <w:lvl w:ilvl="0">
      <w:start w:val="1"/>
      <w:numFmt w:val="upperRoman"/>
      <w:lvlText w:val="%1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3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4">
    <w:lvl w:ilvl="0">
      <w:start w:val="1"/>
      <w:numFmt w:val="upperRoman"/>
      <w:lvlText w:val="%1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5">
    <w:lvl w:ilvl="0">
      <w:start w:val="1"/>
      <w:numFmt w:val="decimal"/>
      <w:lvlText w:val="%1、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Schoolbook" w:cs="Century Schoolbook" w:eastAsia="Century Schoolbook" w:hAnsi="Century Schoolbook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after="120" w:before="120" w:line="500" w:lineRule="auto"/>
      <w:ind w:left="480" w:hanging="480"/>
    </w:pPr>
    <w:rPr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spacing w:after="120" w:before="120" w:line="500" w:lineRule="auto"/>
      <w:ind w:left="960" w:hanging="480"/>
    </w:pPr>
    <w:rPr>
      <w:sz w:val="28"/>
      <w:szCs w:val="28"/>
    </w:rPr>
  </w:style>
  <w:style w:type="paragraph" w:styleId="Heading3">
    <w:name w:val="heading 3"/>
    <w:basedOn w:val="Normal"/>
    <w:next w:val="Normal"/>
    <w:pPr>
      <w:ind w:left="1440" w:hanging="480"/>
    </w:pPr>
    <w:rPr/>
  </w:style>
  <w:style w:type="paragraph" w:styleId="Heading4">
    <w:name w:val="heading 4"/>
    <w:basedOn w:val="Normal"/>
    <w:next w:val="Normal"/>
    <w:pPr>
      <w:ind w:left="1920" w:hanging="480"/>
    </w:pPr>
    <w:rPr/>
  </w:style>
  <w:style w:type="paragraph" w:styleId="Heading5">
    <w:name w:val="heading 5"/>
    <w:basedOn w:val="Normal"/>
    <w:next w:val="Normal"/>
    <w:pPr>
      <w:ind w:left="2400" w:hanging="480"/>
    </w:pPr>
    <w:rPr/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Aptos" w:cs="Aptos" w:eastAsia="Aptos" w:hAnsi="Aptos"/>
      <w:color w:val="595959"/>
    </w:rPr>
  </w:style>
  <w:style w:type="paragraph" w:styleId="Title">
    <w:name w:val="Title"/>
    <w:basedOn w:val="Normal"/>
    <w:next w:val="Normal"/>
    <w:pPr>
      <w:spacing w:after="120" w:before="120" w:line="600" w:lineRule="auto"/>
      <w:jc w:val="center"/>
    </w:pPr>
    <w:rPr>
      <w:b w:val="1"/>
      <w:bCs w:val="1"/>
      <w:sz w:val="36"/>
      <w:szCs w:val="3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7">
    <w:name w:val="heading 7"/>
    <w:basedOn w:val="a"/>
    <w:next w:val="a"/>
    <w:link w:val="70"/>
    <w:uiPriority w:val="9"/>
    <w:semiHidden w:val="1"/>
    <w:qFormat w:val="1"/>
    <w:rsid w:val="00BB501A"/>
    <w:pPr>
      <w:keepNext w:val="1"/>
      <w:keepLines w:val="1"/>
      <w:spacing w:before="40"/>
      <w:ind w:left="100" w:leftChars="10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8">
    <w:name w:val="heading 8"/>
    <w:basedOn w:val="a"/>
    <w:next w:val="a"/>
    <w:link w:val="80"/>
    <w:uiPriority w:val="9"/>
    <w:semiHidden w:val="1"/>
    <w:qFormat w:val="1"/>
    <w:rsid w:val="00BB501A"/>
    <w:pPr>
      <w:keepNext w:val="1"/>
      <w:keepLines w:val="1"/>
      <w:spacing w:before="40"/>
      <w:ind w:left="200" w:leftChars="200"/>
      <w:outlineLvl w:val="7"/>
    </w:pPr>
    <w:rPr>
      <w:rFonts w:asciiTheme="minorHAnsi" w:cstheme="majorBidi" w:eastAsiaTheme="majorEastAsia" w:hAnsiTheme="minorHAnsi"/>
      <w:color w:val="272727" w:themeColor="text1" w:themeTint="0000D8"/>
    </w:rPr>
  </w:style>
  <w:style w:type="paragraph" w:styleId="9">
    <w:name w:val="heading 9"/>
    <w:basedOn w:val="a"/>
    <w:next w:val="a"/>
    <w:link w:val="90"/>
    <w:uiPriority w:val="9"/>
    <w:semiHidden w:val="1"/>
    <w:qFormat w:val="1"/>
    <w:rsid w:val="00BB501A"/>
    <w:pPr>
      <w:keepNext w:val="1"/>
      <w:keepLines w:val="1"/>
      <w:spacing w:before="40"/>
      <w:ind w:left="300" w:leftChars="30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a2" w:default="1">
    <w:name w:val="Default Paragraph Font"/>
    <w:uiPriority w:val="1"/>
    <w:semiHidden w:val="1"/>
    <w:unhideWhenUsed w:val="1"/>
  </w:style>
  <w:style w:type="table" w:styleId="a3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4" w:default="1">
    <w:name w:val="No List"/>
    <w:uiPriority w:val="99"/>
    <w:semiHidden w:val="1"/>
    <w:unhideWhenUsed w:val="1"/>
  </w:style>
  <w:style w:type="character" w:styleId="10" w:customStyle="1">
    <w:name w:val="標題 1 字元"/>
    <w:basedOn w:val="a2"/>
    <w:link w:val="1"/>
    <w:uiPriority w:val="9"/>
    <w:rsid w:val="003F770B"/>
    <w:rPr>
      <w:rFonts w:ascii="Century Schoolbook" w:eastAsia="標楷體" w:hAnsi="Century Schoolbook" w:cstheme="majorBidi"/>
      <w:b w:val="1"/>
      <w:bCs w:val="1"/>
      <w:kern w:val="52"/>
      <w:sz w:val="28"/>
      <w:szCs w:val="52"/>
    </w:rPr>
  </w:style>
  <w:style w:type="character" w:styleId="20" w:customStyle="1">
    <w:name w:val="標題 2 字元"/>
    <w:basedOn w:val="a2"/>
    <w:link w:val="2"/>
    <w:uiPriority w:val="9"/>
    <w:rsid w:val="004B2A4D"/>
    <w:rPr>
      <w:rFonts w:ascii="Century Schoolbook" w:eastAsia="標楷體" w:hAnsi="Century Schoolbook" w:cstheme="majorBidi"/>
      <w:bCs w:val="1"/>
      <w:sz w:val="28"/>
      <w:szCs w:val="48"/>
    </w:rPr>
  </w:style>
  <w:style w:type="character" w:styleId="30" w:customStyle="1">
    <w:name w:val="標題 3 字元"/>
    <w:basedOn w:val="a2"/>
    <w:link w:val="3"/>
    <w:uiPriority w:val="9"/>
    <w:rsid w:val="00090A6E"/>
    <w:rPr>
      <w:rFonts w:ascii="Century Schoolbook" w:eastAsia="標楷體" w:hAnsi="Century Schoolbook" w:cstheme="majorBidi"/>
      <w:bCs w:val="1"/>
      <w:szCs w:val="36"/>
    </w:rPr>
  </w:style>
  <w:style w:type="character" w:styleId="40" w:customStyle="1">
    <w:name w:val="標題 4 字元"/>
    <w:basedOn w:val="a2"/>
    <w:link w:val="4"/>
    <w:uiPriority w:val="9"/>
    <w:rsid w:val="00090A6E"/>
    <w:rPr>
      <w:rFonts w:ascii="Century Schoolbook" w:eastAsia="標楷體" w:hAnsi="Century Schoolbook" w:cstheme="majorBidi"/>
      <w:szCs w:val="36"/>
    </w:rPr>
  </w:style>
  <w:style w:type="character" w:styleId="50" w:customStyle="1">
    <w:name w:val="標題 5 字元"/>
    <w:basedOn w:val="a2"/>
    <w:link w:val="5"/>
    <w:uiPriority w:val="9"/>
    <w:rsid w:val="00090A6E"/>
    <w:rPr>
      <w:rFonts w:ascii="Century Schoolbook" w:eastAsia="標楷體" w:hAnsi="Century Schoolbook" w:cstheme="majorBidi"/>
      <w:bCs w:val="1"/>
      <w:szCs w:val="36"/>
    </w:rPr>
  </w:style>
  <w:style w:type="paragraph" w:styleId="a5">
    <w:name w:val="header"/>
    <w:basedOn w:val="a"/>
    <w:link w:val="a6"/>
    <w:uiPriority w:val="99"/>
    <w:unhideWhenUsed w:val="1"/>
    <w:rsid w:val="001A12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2"/>
    <w:link w:val="a5"/>
    <w:uiPriority w:val="99"/>
    <w:rsid w:val="001A1260"/>
    <w:rPr>
      <w:sz w:val="20"/>
      <w:szCs w:val="20"/>
    </w:rPr>
  </w:style>
  <w:style w:type="paragraph" w:styleId="a7">
    <w:name w:val="footer"/>
    <w:basedOn w:val="a"/>
    <w:link w:val="a8"/>
    <w:uiPriority w:val="99"/>
    <w:unhideWhenUsed w:val="1"/>
    <w:rsid w:val="001A12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2"/>
    <w:link w:val="a7"/>
    <w:uiPriority w:val="99"/>
    <w:rsid w:val="001A1260"/>
    <w:rPr>
      <w:sz w:val="20"/>
      <w:szCs w:val="20"/>
    </w:rPr>
  </w:style>
  <w:style w:type="character" w:styleId="aa" w:customStyle="1">
    <w:name w:val="標題 字元"/>
    <w:aliases w:val="大標題 字元"/>
    <w:basedOn w:val="a2"/>
    <w:link w:val="a9"/>
    <w:uiPriority w:val="10"/>
    <w:rsid w:val="00192192"/>
    <w:rPr>
      <w:rFonts w:ascii="Century Schoolbook" w:eastAsia="標楷體" w:hAnsi="Century Schoolbook"/>
      <w:b w:val="1"/>
      <w:sz w:val="36"/>
      <w:szCs w:val="36"/>
    </w:rPr>
  </w:style>
  <w:style w:type="paragraph" w:styleId="ab">
    <w:name w:val="Balloon Text"/>
    <w:basedOn w:val="a"/>
    <w:link w:val="ac"/>
    <w:uiPriority w:val="99"/>
    <w:semiHidden w:val="1"/>
    <w:unhideWhenUsed w:val="1"/>
    <w:rsid w:val="00B933A7"/>
    <w:rPr>
      <w:rFonts w:asciiTheme="majorHAnsi" w:cstheme="majorBidi" w:eastAsiaTheme="majorEastAsia" w:hAnsiTheme="majorHAnsi"/>
      <w:sz w:val="18"/>
      <w:szCs w:val="18"/>
    </w:rPr>
  </w:style>
  <w:style w:type="character" w:styleId="ac" w:customStyle="1">
    <w:name w:val="註解方塊文字 字元"/>
    <w:basedOn w:val="a2"/>
    <w:link w:val="ab"/>
    <w:uiPriority w:val="99"/>
    <w:semiHidden w:val="1"/>
    <w:rsid w:val="00B933A7"/>
    <w:rPr>
      <w:rFonts w:asciiTheme="majorHAnsi" w:cstheme="majorBidi" w:eastAsiaTheme="majorEastAsia" w:hAnsiTheme="majorHAnsi"/>
      <w:sz w:val="18"/>
      <w:szCs w:val="18"/>
    </w:rPr>
  </w:style>
  <w:style w:type="table" w:styleId="ad">
    <w:name w:val="Table Grid"/>
    <w:basedOn w:val="a3"/>
    <w:uiPriority w:val="39"/>
    <w:rsid w:val="00D5566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cPr>
      <w:shd w:color="auto" w:fill="auto" w:val="clear"/>
    </w:tcPr>
    <w:tblStylePr w:type="firstRow">
      <w:pPr>
        <w:jc w:val="center"/>
      </w:pPr>
      <w:tblPr/>
      <w:trPr>
        <w:tblHeader w:val="1"/>
      </w:trPr>
      <w:tcPr>
        <w:shd w:color="auto" w:fill="d9d9d9" w:themeFill="background1" w:themeFillShade="0000D9" w:val="clear"/>
        <w:vAlign w:val="center"/>
      </w:tcPr>
    </w:tblStylePr>
    <w:tblStylePr w:type="firstCol">
      <w:pPr>
        <w:jc w:val="center"/>
      </w:pPr>
      <w:tblPr/>
      <w:tcPr>
        <w:shd w:color="auto" w:fill="d9d9d9" w:themeFill="background1" w:themeFillShade="0000D9" w:val="clear"/>
        <w:vAlign w:val="center"/>
      </w:tcPr>
    </w:tblStylePr>
  </w:style>
  <w:style w:type="character" w:styleId="ae">
    <w:name w:val="footnote reference"/>
    <w:basedOn w:val="a2"/>
    <w:uiPriority w:val="99"/>
    <w:semiHidden w:val="1"/>
    <w:unhideWhenUsed w:val="1"/>
    <w:rsid w:val="008B04D4"/>
    <w:rPr>
      <w:b w:val="1"/>
      <w:i w:val="1"/>
      <w:vertAlign w:val="superscript"/>
    </w:rPr>
  </w:style>
  <w:style w:type="paragraph" w:styleId="af">
    <w:name w:val="footnote text"/>
    <w:basedOn w:val="a"/>
    <w:link w:val="af0"/>
    <w:uiPriority w:val="99"/>
    <w:semiHidden w:val="1"/>
    <w:unhideWhenUsed w:val="1"/>
    <w:rsid w:val="008B04D4"/>
    <w:pPr>
      <w:snapToGrid w:val="0"/>
      <w:ind w:left="90" w:hanging="90" w:hangingChars="90"/>
    </w:pPr>
    <w:rPr>
      <w:sz w:val="20"/>
      <w:szCs w:val="20"/>
    </w:rPr>
  </w:style>
  <w:style w:type="character" w:styleId="af0" w:customStyle="1">
    <w:name w:val="註腳文字 字元"/>
    <w:basedOn w:val="a2"/>
    <w:link w:val="af"/>
    <w:uiPriority w:val="99"/>
    <w:semiHidden w:val="1"/>
    <w:rsid w:val="008B04D4"/>
    <w:rPr>
      <w:rFonts w:ascii="Century Schoolbook" w:eastAsia="標楷體" w:hAnsi="Century Schoolbook"/>
      <w:sz w:val="20"/>
      <w:szCs w:val="20"/>
    </w:rPr>
  </w:style>
  <w:style w:type="paragraph" w:styleId="a0" w:customStyle="1">
    <w:name w:val="內文（一、）"/>
    <w:basedOn w:val="a"/>
    <w:uiPriority w:val="3"/>
    <w:rsid w:val="00090A6E"/>
    <w:pPr>
      <w:ind w:left="567"/>
    </w:pPr>
  </w:style>
  <w:style w:type="paragraph" w:styleId="a1" w:customStyle="1">
    <w:name w:val="內文（（一））"/>
    <w:basedOn w:val="a"/>
    <w:uiPriority w:val="3"/>
    <w:rsid w:val="001F58A4"/>
    <w:pPr>
      <w:ind w:left="709"/>
    </w:pPr>
  </w:style>
  <w:style w:type="paragraph" w:styleId="11" w:customStyle="1">
    <w:name w:val="內文（1、）"/>
    <w:basedOn w:val="a"/>
    <w:uiPriority w:val="3"/>
    <w:rsid w:val="001F58A4"/>
    <w:pPr>
      <w:ind w:left="822"/>
    </w:pPr>
  </w:style>
  <w:style w:type="paragraph" w:styleId="12" w:customStyle="1">
    <w:name w:val="內文（(1)）"/>
    <w:basedOn w:val="a"/>
    <w:uiPriority w:val="3"/>
    <w:rsid w:val="001F58A4"/>
    <w:pPr>
      <w:ind w:left="964"/>
    </w:pPr>
  </w:style>
  <w:style w:type="paragraph" w:styleId="af1">
    <w:name w:val="List Paragraph"/>
    <w:basedOn w:val="a"/>
    <w:uiPriority w:val="34"/>
    <w:semiHidden w:val="1"/>
    <w:rsid w:val="00A76867"/>
    <w:pPr>
      <w:ind w:left="480" w:leftChars="200"/>
    </w:pPr>
  </w:style>
  <w:style w:type="table" w:styleId="af2">
    <w:name w:val="Grid Table Light"/>
    <w:basedOn w:val="a3"/>
    <w:uiPriority w:val="40"/>
    <w:rsid w:val="00D55669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paragraph" w:styleId="af3" w:customStyle="1">
    <w:name w:val="區隔後段"/>
    <w:basedOn w:val="a"/>
    <w:link w:val="af4"/>
    <w:uiPriority w:val="2"/>
    <w:qFormat w:val="1"/>
    <w:rsid w:val="00FD25F7"/>
    <w:pPr>
      <w:spacing w:after="50" w:afterLines="50" w:before="50" w:beforeLines="50"/>
    </w:pPr>
  </w:style>
  <w:style w:type="character" w:styleId="af4" w:customStyle="1">
    <w:name w:val="區隔後段 字元"/>
    <w:basedOn w:val="a2"/>
    <w:link w:val="af3"/>
    <w:uiPriority w:val="2"/>
    <w:rsid w:val="00FD25F7"/>
    <w:rPr>
      <w:rFonts w:ascii="Century Schoolbook" w:eastAsia="標楷體" w:hAnsi="Century Schoolbook"/>
    </w:rPr>
  </w:style>
  <w:style w:type="paragraph" w:styleId="af5" w:customStyle="1">
    <w:name w:val="首行縮排"/>
    <w:basedOn w:val="a"/>
    <w:link w:val="af6"/>
    <w:uiPriority w:val="2"/>
    <w:qFormat w:val="1"/>
    <w:rsid w:val="00FD25F7"/>
    <w:pPr>
      <w:spacing w:after="50" w:afterLines="50" w:before="50" w:beforeLines="50"/>
      <w:ind w:firstLine="200" w:firstLineChars="200"/>
    </w:pPr>
  </w:style>
  <w:style w:type="character" w:styleId="af6" w:customStyle="1">
    <w:name w:val="首行縮排 字元"/>
    <w:basedOn w:val="a2"/>
    <w:link w:val="af5"/>
    <w:uiPriority w:val="2"/>
    <w:rsid w:val="00FD25F7"/>
    <w:rPr>
      <w:rFonts w:ascii="Century Schoolbook" w:eastAsia="標楷體" w:hAnsi="Century Schoolbook"/>
    </w:rPr>
  </w:style>
  <w:style w:type="character" w:styleId="60" w:customStyle="1">
    <w:name w:val="標題 6 字元"/>
    <w:basedOn w:val="a2"/>
    <w:link w:val="6"/>
    <w:uiPriority w:val="9"/>
    <w:semiHidden w:val="1"/>
    <w:rsid w:val="00BB501A"/>
    <w:rPr>
      <w:rFonts w:cstheme="majorBidi" w:eastAsiaTheme="majorEastAsia"/>
      <w:color w:val="595959" w:themeColor="text1" w:themeTint="0000A6"/>
    </w:rPr>
  </w:style>
  <w:style w:type="character" w:styleId="70" w:customStyle="1">
    <w:name w:val="標題 7 字元"/>
    <w:basedOn w:val="a2"/>
    <w:link w:val="7"/>
    <w:uiPriority w:val="9"/>
    <w:semiHidden w:val="1"/>
    <w:rsid w:val="00BB501A"/>
    <w:rPr>
      <w:rFonts w:cstheme="majorBidi" w:eastAsiaTheme="majorEastAsia"/>
      <w:color w:val="595959" w:themeColor="text1" w:themeTint="0000A6"/>
    </w:rPr>
  </w:style>
  <w:style w:type="character" w:styleId="80" w:customStyle="1">
    <w:name w:val="標題 8 字元"/>
    <w:basedOn w:val="a2"/>
    <w:link w:val="8"/>
    <w:uiPriority w:val="9"/>
    <w:semiHidden w:val="1"/>
    <w:rsid w:val="00BB501A"/>
    <w:rPr>
      <w:rFonts w:cstheme="majorBidi" w:eastAsiaTheme="majorEastAsia"/>
      <w:color w:val="272727" w:themeColor="text1" w:themeTint="0000D8"/>
    </w:rPr>
  </w:style>
  <w:style w:type="character" w:styleId="90" w:customStyle="1">
    <w:name w:val="標題 9 字元"/>
    <w:basedOn w:val="a2"/>
    <w:link w:val="9"/>
    <w:uiPriority w:val="9"/>
    <w:semiHidden w:val="1"/>
    <w:rsid w:val="00BB501A"/>
    <w:rPr>
      <w:rFonts w:cstheme="majorBidi" w:eastAsiaTheme="majorEastAsia"/>
      <w:color w:val="272727" w:themeColor="text1" w:themeTint="0000D8"/>
    </w:rPr>
  </w:style>
  <w:style w:type="character" w:styleId="af8" w:customStyle="1">
    <w:name w:val="副標題 字元"/>
    <w:basedOn w:val="a2"/>
    <w:link w:val="af7"/>
    <w:uiPriority w:val="11"/>
    <w:semiHidden w:val="1"/>
    <w:rsid w:val="00BB501A"/>
    <w:rPr>
      <w:rFonts w:asciiTheme="majorHAnsi" w:cstheme="majorBidi" w:eastAsiaTheme="majorEastAsia" w:hAnsiTheme="majorHAnsi"/>
      <w:color w:val="595959" w:themeColor="text1" w:themeTint="0000A6"/>
      <w:spacing w:val="15"/>
      <w:sz w:val="28"/>
      <w:szCs w:val="28"/>
    </w:rPr>
  </w:style>
  <w:style w:type="paragraph" w:styleId="af9">
    <w:name w:val="Quote"/>
    <w:basedOn w:val="a"/>
    <w:next w:val="a"/>
    <w:link w:val="afa"/>
    <w:uiPriority w:val="29"/>
    <w:semiHidden w:val="1"/>
    <w:rsid w:val="00BB501A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afa" w:customStyle="1">
    <w:name w:val="引文 字元"/>
    <w:basedOn w:val="a2"/>
    <w:link w:val="af9"/>
    <w:uiPriority w:val="29"/>
    <w:semiHidden w:val="1"/>
    <w:rsid w:val="00BB501A"/>
    <w:rPr>
      <w:rFonts w:ascii="Century Schoolbook" w:eastAsia="標楷體" w:hAnsi="Century Schoolbook"/>
      <w:i w:val="1"/>
      <w:iCs w:val="1"/>
      <w:color w:val="404040" w:themeColor="text1" w:themeTint="0000BF"/>
    </w:rPr>
  </w:style>
  <w:style w:type="character" w:styleId="afb">
    <w:name w:val="Intense Emphasis"/>
    <w:basedOn w:val="a2"/>
    <w:uiPriority w:val="21"/>
    <w:semiHidden w:val="1"/>
    <w:rsid w:val="00BB501A"/>
    <w:rPr>
      <w:i w:val="1"/>
      <w:iCs w:val="1"/>
      <w:color w:val="0f4761" w:themeColor="accent1" w:themeShade="0000BF"/>
    </w:rPr>
  </w:style>
  <w:style w:type="paragraph" w:styleId="afc">
    <w:name w:val="Intense Quote"/>
    <w:basedOn w:val="a"/>
    <w:next w:val="a"/>
    <w:link w:val="afd"/>
    <w:uiPriority w:val="30"/>
    <w:semiHidden w:val="1"/>
    <w:rsid w:val="00BB501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afd" w:customStyle="1">
    <w:name w:val="鮮明引文 字元"/>
    <w:basedOn w:val="a2"/>
    <w:link w:val="afc"/>
    <w:uiPriority w:val="30"/>
    <w:semiHidden w:val="1"/>
    <w:rsid w:val="00BB501A"/>
    <w:rPr>
      <w:rFonts w:ascii="Century Schoolbook" w:eastAsia="標楷體" w:hAnsi="Century Schoolbook"/>
      <w:i w:val="1"/>
      <w:iCs w:val="1"/>
      <w:color w:val="0f4761" w:themeColor="accent1" w:themeShade="0000BF"/>
    </w:rPr>
  </w:style>
  <w:style w:type="character" w:styleId="afe">
    <w:name w:val="Intense Reference"/>
    <w:basedOn w:val="a2"/>
    <w:uiPriority w:val="32"/>
    <w:semiHidden w:val="1"/>
    <w:rsid w:val="00BB501A"/>
    <w:rPr>
      <w:b w:val="1"/>
      <w:bCs w:val="1"/>
      <w:smallCaps w:val="1"/>
      <w:color w:val="0f4761" w:themeColor="accent1" w:themeShade="0000BF"/>
      <w:spacing w:val="5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center"/>
    </w:pPr>
    <w:rPr>
      <w:rFonts w:ascii="Play" w:cs="Play" w:eastAsia="Play" w:hAnsi="Play"/>
      <w:b w:val="0"/>
      <w:bCs w:val="0"/>
      <w:i w:val="0"/>
      <w:iCs w:val="0"/>
      <w:smallCaps w:val="0"/>
      <w:strike w:val="0"/>
      <w:color w:val="595959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10" Type="http://schemas.openxmlformats.org/officeDocument/2006/relationships/font" Target="fonts/CenturySchoolbook-boldItalic.ttf"/><Relationship Id="rId9" Type="http://schemas.openxmlformats.org/officeDocument/2006/relationships/font" Target="fonts/CenturySchoolbook-italic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CenturySchoolbook-regular.ttf"/><Relationship Id="rId8" Type="http://schemas.openxmlformats.org/officeDocument/2006/relationships/font" Target="fonts/CenturySchoolbook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nwX4ghWNl2d+bqVYFPoMTvTdA==">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2025-04-10T04:21:00Z</dcterms:created>
  <dc:creator>民間司法改革基金會</dc:creator>
</cp:coreProperties>
</file>